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jc w:val="center"/>
        <w:rPr>
          <w:rFonts w:ascii="Arial Narrow" w:cs="Arial Narrow" w:eastAsia="Arial Narrow" w:hAnsi="Arial Narrow"/>
          <w:b w:val="1"/>
          <w:color w:val="40404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28"/>
          <w:szCs w:val="28"/>
          <w:rtl w:val="0"/>
        </w:rPr>
        <w:t xml:space="preserve">CAF logra exitosa colocación de bonos para financiar políticas anticíclicas ante la pandemia del COVID-19 en América Latina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 Narrow" w:cs="Arial Narrow" w:eastAsia="Arial Narrow" w:hAnsi="Arial Narrow"/>
          <w:i w:val="1"/>
          <w:color w:val="80808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rtl w:val="0"/>
        </w:rPr>
        <w:t xml:space="preserve">La confianza de los inversionistas en la solidez financiera y el impacto del apoyo de CAF en la recuperación de la región ante la pandemia del COVID-19, permitió una demanda de USD 1.200 millones a tasas y plazos favorables.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2c2c2b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4"/>
          <w:szCs w:val="24"/>
          <w:rtl w:val="0"/>
        </w:rPr>
        <w:t xml:space="preserve">Ciudad de México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, 08 de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rtl w:val="0"/>
        </w:rPr>
        <w:t xml:space="preserve">mayo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 de 2020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CAF –banco de desarrollo de América Latina- concluyó una emisión de deuda en el mercado estadounidense, </w:t>
      </w:r>
      <w:r w:rsidDel="00000000" w:rsidR="00000000" w:rsidRPr="00000000">
        <w:rPr>
          <w:rFonts w:ascii="Arial Narrow" w:cs="Arial Narrow" w:eastAsia="Arial Narrow" w:hAnsi="Arial Narrow"/>
          <w:color w:val="2c2c2b"/>
          <w:rtl w:val="0"/>
        </w:rPr>
        <w:t xml:space="preserve">que dio como resultado la colocación de un nuevo bono por un monto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c2c2b"/>
          <w:rtl w:val="0"/>
        </w:rPr>
        <w:t xml:space="preserve">USD 800 millones</w:t>
      </w:r>
      <w:r w:rsidDel="00000000" w:rsidR="00000000" w:rsidRPr="00000000">
        <w:rPr>
          <w:rFonts w:ascii="Arial Narrow" w:cs="Arial Narrow" w:eastAsia="Arial Narrow" w:hAnsi="Arial Narrow"/>
          <w:color w:val="2c2c2b"/>
          <w:rtl w:val="0"/>
        </w:rPr>
        <w:t xml:space="preserve"> con un plazo a </w:t>
      </w:r>
      <w:r w:rsidDel="00000000" w:rsidR="00000000" w:rsidRPr="00000000">
        <w:rPr>
          <w:rFonts w:ascii="Arial Narrow" w:cs="Arial Narrow" w:eastAsia="Arial Narrow" w:hAnsi="Arial Narrow"/>
          <w:b w:val="1"/>
          <w:color w:val="2c2c2b"/>
          <w:rtl w:val="0"/>
        </w:rPr>
        <w:t xml:space="preserve">3 años</w:t>
      </w:r>
      <w:r w:rsidDel="00000000" w:rsidR="00000000" w:rsidRPr="00000000">
        <w:rPr>
          <w:rFonts w:ascii="Arial Narrow" w:cs="Arial Narrow" w:eastAsia="Arial Narrow" w:hAnsi="Arial Narrow"/>
          <w:color w:val="2c2c2b"/>
          <w:rtl w:val="0"/>
        </w:rPr>
        <w:t xml:space="preserve"> y un </w:t>
      </w:r>
      <w:r w:rsidDel="00000000" w:rsidR="00000000" w:rsidRPr="00000000">
        <w:rPr>
          <w:rFonts w:ascii="Arial Narrow" w:cs="Arial Narrow" w:eastAsia="Arial Narrow" w:hAnsi="Arial Narrow"/>
          <w:b w:val="1"/>
          <w:color w:val="2c2c2b"/>
          <w:rtl w:val="0"/>
        </w:rPr>
        <w:t xml:space="preserve">cupón de 2,37% </w:t>
      </w:r>
      <w:r w:rsidDel="00000000" w:rsidR="00000000" w:rsidRPr="00000000">
        <w:rPr>
          <w:rFonts w:ascii="Arial Narrow" w:cs="Arial Narrow" w:eastAsia="Arial Narrow" w:hAnsi="Arial Narrow"/>
          <w:color w:val="2c2c2b"/>
          <w:rtl w:val="0"/>
        </w:rPr>
        <w:t xml:space="preserve">en condiciones favorables. A pesar del ambiente de alta volatilidad, Esta emisión logró una gran receptividad con aproximadamente </w:t>
      </w:r>
      <w:r w:rsidDel="00000000" w:rsidR="00000000" w:rsidRPr="00000000">
        <w:rPr>
          <w:rFonts w:ascii="Arial Narrow" w:cs="Arial Narrow" w:eastAsia="Arial Narrow" w:hAnsi="Arial Narrow"/>
          <w:b w:val="1"/>
          <w:color w:val="2c2c2b"/>
          <w:rtl w:val="0"/>
        </w:rPr>
        <w:t xml:space="preserve">90</w:t>
      </w:r>
      <w:r w:rsidDel="00000000" w:rsidR="00000000" w:rsidRPr="00000000">
        <w:rPr>
          <w:rFonts w:ascii="Arial Narrow" w:cs="Arial Narrow" w:eastAsia="Arial Narrow" w:hAnsi="Arial Narrow"/>
          <w:color w:val="2c2c2b"/>
          <w:rtl w:val="0"/>
        </w:rPr>
        <w:t xml:space="preserve"> inversionistas registrados en el libro de órdenes con una demanda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c2c2b"/>
          <w:rtl w:val="0"/>
        </w:rPr>
        <w:t xml:space="preserve">USD 1.200 millones</w:t>
      </w:r>
      <w:r w:rsidDel="00000000" w:rsidR="00000000" w:rsidRPr="00000000">
        <w:rPr>
          <w:rFonts w:ascii="Arial Narrow" w:cs="Arial Narrow" w:eastAsia="Arial Narrow" w:hAnsi="Arial Narrow"/>
          <w:color w:val="2c2c2b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2c2c2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“Nos complace ratificar el crecimiento de la confianza y el interés de los inversionistas en los bonos de CAF para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impulsar las políticas anticíclicas y sociales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que están implementando los gobiernos ante la pandemia del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COVID-19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. Estos recursos que hemos conseguido a tasas favorables se destinarán para financiar parcialmente la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línea de emergencia de USD 2.500 millones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con la que estamos apoyando oportunamente a los países miembros para proteger el bienestar y el empleo en la región”, aseguró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Luis Carranza Ugarte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, presidente ejecutivo de CAF.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Esta emisión se destaca por el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alto volumen de órdenes individuales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. Entre los principales inversores también se encuentran los administradores de fondos, instituciones oficiales y bancos comerciales. Los bancos colocadores fueron Barclays, Citi, HSBC y J.P. Morgan.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CAF apoya a la región de manera ágil y oportuna mediante una serie de instrumentos financieros y técnicos que complementan las medidas que están aplicando los gobiernos. La estrategia integral contempla una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línea de crédito regional de emergencia de USD 2.500 millones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para reforzar las medidas económicas anticíclicas. Las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pequeñas y medianas empresas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, y el sector privado en general, también se podrán beneficiar de la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liquidez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que se está irrigando a los bancos de desarrollo locales y a los bancos comerciales para promover la recuperación económica de América Latina.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Por otra parte, CAF ha puesto a disposición de los países mecanismos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capacitación virtual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y se encuentra abocado a la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generación de conocimiento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, elementos fundamentales para que los países puedan diseñar sus estrategias de recuperación económica manteniendo los logros sociales alcanzados en las últimas décadas.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El talento humano de CAF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junto a expertos en sectores estratégicos como salud, educación, economía, transporte, protección social, tecnología y gobernabilidad, trabajan en propuestas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políticas públicas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que puedan ser adaptables a la realidad de cada país, las cuales están </w:t>
      </w:r>
      <w:hyperlink r:id="rId6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disponibles aquí</w:t>
        </w:r>
      </w:hyperlink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14 bancos privados, es una de las principales fuentes de financiamiento multilateral y un importante generador de conocimiento para la región. Más información en </w:t>
      </w:r>
      <w:hyperlink r:id="rId7">
        <w:r w:rsidDel="00000000" w:rsidR="00000000" w:rsidRPr="00000000">
          <w:rPr>
            <w:rFonts w:ascii="Arial Narrow" w:cs="Arial Narrow" w:eastAsia="Arial Narrow" w:hAnsi="Arial Narrow"/>
            <w:sz w:val="18"/>
            <w:szCs w:val="18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2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83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CAF, Dirección de Comunicación Estratégica,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000ff"/>
            <w:sz w:val="18"/>
            <w:szCs w:val="18"/>
            <w:u w:val="single"/>
            <w:rtl w:val="0"/>
          </w:rPr>
          <w:t xml:space="preserve">prensa@caf.com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/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Encuéntrenos en: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Facebook: 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0000ff"/>
            <w:sz w:val="18"/>
            <w:szCs w:val="18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 / 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Twitter: @AgendaCAF</w:t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1753553</wp:posOffset>
          </wp:positionH>
          <wp:positionV relativeFrom="paragraph">
            <wp:posOffset>19050</wp:posOffset>
          </wp:positionV>
          <wp:extent cx="2105025" cy="657225"/>
          <wp:effectExtent b="0" l="0" r="0" t="0"/>
          <wp:wrapTopAndBottom distB="0" distT="0"/>
          <wp:docPr descr="Logo_CAF50_Aniversario" id="2" name="image1.png"/>
          <a:graphic>
            <a:graphicData uri="http://schemas.openxmlformats.org/drawingml/2006/picture">
              <pic:pic>
                <pic:nvPicPr>
                  <pic:cNvPr descr="Logo_CAF50_Aniversari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facebook.com/CAF.America.Latina" TargetMode="External"/><Relationship Id="rId9" Type="http://schemas.openxmlformats.org/officeDocument/2006/relationships/hyperlink" Target="mailto:prensa@caf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af.com/es/temas/c/covid19/" TargetMode="External"/><Relationship Id="rId7" Type="http://schemas.openxmlformats.org/officeDocument/2006/relationships/hyperlink" Target="http://www.caf.com/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